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0230"/>
      </w:tblGrid>
      <w:tr w:rsidR="006B36DD" w:rsidTr="006B36DD">
        <w:trPr>
          <w:trHeight w:val="1798"/>
        </w:trPr>
        <w:tc>
          <w:tcPr>
            <w:tcW w:w="10223" w:type="dxa"/>
          </w:tcPr>
          <w:p w:rsidR="006B36DD" w:rsidRDefault="006B36DD">
            <w:pPr>
              <w:pStyle w:val="1"/>
              <w:ind w:left="2302" w:right="-1100" w:hanging="108"/>
              <w:jc w:val="center"/>
              <w:rPr>
                <w:rFonts w:ascii="Times New Roman" w:hAnsi="Times New Roman"/>
                <w:bCs/>
                <w:iCs/>
                <w:lang w:val="ru-RU"/>
              </w:rPr>
            </w:pPr>
          </w:p>
          <w:p w:rsidR="006B36DD" w:rsidRDefault="006B36DD"/>
          <w:tbl>
            <w:tblPr>
              <w:tblW w:w="8175" w:type="dxa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8175"/>
            </w:tblGrid>
            <w:tr w:rsidR="006B36DD">
              <w:trPr>
                <w:trHeight w:val="235"/>
                <w:jc w:val="right"/>
              </w:trPr>
              <w:tc>
                <w:tcPr>
                  <w:tcW w:w="8182" w:type="dxa"/>
                  <w:hideMark/>
                </w:tcPr>
                <w:p w:rsidR="006B36DD" w:rsidRDefault="006B36DD">
                  <w:pPr>
                    <w:pStyle w:val="1"/>
                    <w:ind w:left="2302" w:right="50" w:hanging="108"/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  <w:t xml:space="preserve">                                                              У Т В Е Р Ж Д Е Н О</w:t>
                  </w:r>
                </w:p>
              </w:tc>
            </w:tr>
            <w:tr w:rsidR="006B36DD">
              <w:trPr>
                <w:trHeight w:val="691"/>
                <w:jc w:val="right"/>
              </w:trPr>
              <w:tc>
                <w:tcPr>
                  <w:tcW w:w="8182" w:type="dxa"/>
                  <w:hideMark/>
                </w:tcPr>
                <w:p w:rsidR="006B36DD" w:rsidRDefault="006B36DD">
                  <w:pPr>
                    <w:pStyle w:val="1"/>
                    <w:ind w:right="50" w:firstLine="0"/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  <w:t xml:space="preserve">Решением Представителя государственной </w:t>
                  </w:r>
                </w:p>
                <w:p w:rsidR="006B36DD" w:rsidRDefault="006B36DD">
                  <w:pPr>
                    <w:pStyle w:val="1"/>
                    <w:ind w:right="50" w:firstLine="0"/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  <w:t xml:space="preserve">корпорации «Агентство по страхованию вкладов» </w:t>
                  </w:r>
                </w:p>
                <w:p w:rsidR="006B36DD" w:rsidRDefault="006B36DD">
                  <w:pPr>
                    <w:pStyle w:val="1"/>
                    <w:ind w:right="50" w:firstLine="0"/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  <w:t xml:space="preserve">В.И.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  <w:t>Папакова</w:t>
                  </w:r>
                  <w:proofErr w:type="spellEnd"/>
                  <w:r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6B36DD" w:rsidRDefault="006B36DD">
                  <w:pPr>
                    <w:pStyle w:val="1"/>
                    <w:ind w:right="50" w:firstLine="0"/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iCs/>
                      <w:sz w:val="22"/>
                      <w:szCs w:val="22"/>
                      <w:lang w:val="ru-RU"/>
                    </w:rPr>
                    <w:t>от 23 мая 2016 г.</w:t>
                  </w:r>
                </w:p>
              </w:tc>
            </w:tr>
          </w:tbl>
          <w:p w:rsidR="006B36DD" w:rsidRDefault="006B36DD">
            <w:pPr>
              <w:pStyle w:val="1"/>
              <w:ind w:right="-1100" w:firstLine="0"/>
              <w:jc w:val="left"/>
              <w:rPr>
                <w:rFonts w:ascii="Times New Roman" w:hAnsi="Times New Roman"/>
                <w:bCs/>
                <w:iCs/>
                <w:lang w:val="ru-RU"/>
              </w:rPr>
            </w:pPr>
          </w:p>
        </w:tc>
      </w:tr>
    </w:tbl>
    <w:p w:rsidR="006B36DD" w:rsidRDefault="006B36DD" w:rsidP="006B36DD">
      <w:pPr>
        <w:ind w:right="90" w:firstLine="851"/>
        <w:jc w:val="center"/>
        <w:rPr>
          <w:rFonts w:cs="Arial"/>
          <w:b/>
          <w:bCs/>
          <w:color w:val="000000"/>
          <w:sz w:val="22"/>
          <w:szCs w:val="22"/>
        </w:rPr>
      </w:pPr>
    </w:p>
    <w:p w:rsidR="006B36DD" w:rsidRDefault="006B36DD" w:rsidP="006B36DD">
      <w:pPr>
        <w:ind w:right="819"/>
        <w:jc w:val="center"/>
        <w:rPr>
          <w:rFonts w:ascii="Times New Roman" w:hAnsi="Times New Roman"/>
          <w:b/>
        </w:rPr>
      </w:pPr>
    </w:p>
    <w:p w:rsidR="006B36DD" w:rsidRDefault="006B36DD" w:rsidP="006B36DD">
      <w:pPr>
        <w:ind w:right="819"/>
        <w:jc w:val="center"/>
        <w:rPr>
          <w:rFonts w:ascii="Times New Roman" w:hAnsi="Times New Roman"/>
          <w:b/>
          <w:snapToGrid w:val="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Положение </w:t>
      </w:r>
      <w:r>
        <w:rPr>
          <w:rFonts w:ascii="Times New Roman" w:hAnsi="Times New Roman"/>
          <w:b/>
          <w:snapToGrid w:val="0"/>
          <w:sz w:val="32"/>
          <w:szCs w:val="32"/>
        </w:rPr>
        <w:t>об акции «Капитальный ремонт - бесплатно»</w:t>
      </w:r>
    </w:p>
    <w:p w:rsidR="006B36DD" w:rsidRDefault="006B36DD" w:rsidP="006B36DD">
      <w:pPr>
        <w:ind w:right="81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клиентов АО «</w:t>
      </w:r>
      <w:proofErr w:type="spellStart"/>
      <w:r>
        <w:rPr>
          <w:rFonts w:ascii="Times New Roman" w:hAnsi="Times New Roman"/>
          <w:b/>
          <w:sz w:val="32"/>
          <w:szCs w:val="32"/>
        </w:rPr>
        <w:t>Экономбанк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6B36DD" w:rsidRDefault="006B36DD" w:rsidP="006B36DD">
      <w:pPr>
        <w:ind w:right="819"/>
        <w:jc w:val="center"/>
        <w:rPr>
          <w:rFonts w:ascii="Times New Roman" w:hAnsi="Times New Roman"/>
          <w:b/>
          <w:sz w:val="32"/>
          <w:szCs w:val="32"/>
        </w:rPr>
      </w:pPr>
    </w:p>
    <w:p w:rsidR="006B36DD" w:rsidRDefault="006B36DD" w:rsidP="006B36DD">
      <w:pPr>
        <w:ind w:right="819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положение регулирует порядок и сроки проведения акции для клиентов АО «</w:t>
      </w:r>
      <w:proofErr w:type="spellStart"/>
      <w:r>
        <w:rPr>
          <w:rFonts w:ascii="Times New Roman" w:hAnsi="Times New Roman"/>
        </w:rPr>
        <w:t>Экономбанк</w:t>
      </w:r>
      <w:proofErr w:type="spellEnd"/>
      <w:r>
        <w:rPr>
          <w:rFonts w:ascii="Times New Roman" w:hAnsi="Times New Roman"/>
        </w:rPr>
        <w:t>», а также порядок информирования клиентов о проводимой акции.</w:t>
      </w:r>
    </w:p>
    <w:p w:rsidR="006B36DD" w:rsidRDefault="006B36DD" w:rsidP="006B36DD">
      <w:pPr>
        <w:ind w:right="819"/>
        <w:jc w:val="center"/>
        <w:rPr>
          <w:rFonts w:ascii="Times New Roman" w:hAnsi="Times New Roman"/>
          <w:b/>
          <w:snapToGrid w:val="0"/>
        </w:rPr>
      </w:pPr>
    </w:p>
    <w:p w:rsidR="006B36DD" w:rsidRDefault="006B36DD" w:rsidP="006B36DD">
      <w:pPr>
        <w:numPr>
          <w:ilvl w:val="0"/>
          <w:numId w:val="1"/>
        </w:numPr>
        <w:spacing w:after="120"/>
        <w:ind w:left="357" w:right="816" w:hanging="357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 xml:space="preserve">Общие положения </w:t>
      </w:r>
    </w:p>
    <w:p w:rsidR="006B36DD" w:rsidRDefault="006B36DD" w:rsidP="006B36DD">
      <w:pPr>
        <w:numPr>
          <w:ilvl w:val="1"/>
          <w:numId w:val="1"/>
        </w:numPr>
        <w:tabs>
          <w:tab w:val="left" w:pos="0"/>
        </w:tabs>
        <w:spacing w:after="120"/>
        <w:ind w:left="0" w:right="81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Акция «Капитальный ремонт - бесплатно» проводится с целью повышения лояльности постоянных  клиентов банка,  а также для повышения интереса к платежам в адрес организаций. </w:t>
      </w:r>
    </w:p>
    <w:p w:rsidR="006B36DD" w:rsidRDefault="006B36DD" w:rsidP="006B36DD">
      <w:pPr>
        <w:numPr>
          <w:ilvl w:val="1"/>
          <w:numId w:val="1"/>
        </w:numPr>
        <w:tabs>
          <w:tab w:val="left" w:pos="720"/>
        </w:tabs>
        <w:ind w:left="720" w:right="819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Организатором акции является: </w:t>
      </w:r>
    </w:p>
    <w:p w:rsidR="006B36DD" w:rsidRDefault="006B36DD" w:rsidP="006B36DD">
      <w:pPr>
        <w:tabs>
          <w:tab w:val="left" w:pos="0"/>
        </w:tabs>
        <w:ind w:right="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Акционерное общество Акционерно-коммерческий банк реконструкции и развития «</w:t>
      </w:r>
      <w:proofErr w:type="spellStart"/>
      <w:r>
        <w:rPr>
          <w:rFonts w:ascii="Times New Roman" w:hAnsi="Times New Roman"/>
        </w:rPr>
        <w:t>Экономбанк</w:t>
      </w:r>
      <w:proofErr w:type="spellEnd"/>
      <w:r>
        <w:rPr>
          <w:rFonts w:ascii="Times New Roman" w:hAnsi="Times New Roman"/>
        </w:rPr>
        <w:t>» (АО «</w:t>
      </w:r>
      <w:proofErr w:type="spellStart"/>
      <w:r>
        <w:rPr>
          <w:rFonts w:ascii="Times New Roman" w:hAnsi="Times New Roman"/>
        </w:rPr>
        <w:t>Экономбанк</w:t>
      </w:r>
      <w:proofErr w:type="spellEnd"/>
      <w:r>
        <w:rPr>
          <w:rFonts w:ascii="Times New Roman" w:hAnsi="Times New Roman"/>
        </w:rPr>
        <w:t xml:space="preserve">»). </w:t>
      </w:r>
    </w:p>
    <w:p w:rsidR="006B36DD" w:rsidRDefault="006B36DD" w:rsidP="006B36DD">
      <w:pPr>
        <w:tabs>
          <w:tab w:val="left" w:pos="0"/>
        </w:tabs>
        <w:ind w:right="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Генеральная Лицензия на осуществление банковских операций № 1319 от 30.09.2015 года.</w:t>
      </w:r>
    </w:p>
    <w:p w:rsidR="006B36DD" w:rsidRDefault="006B36DD" w:rsidP="006B36DD">
      <w:pPr>
        <w:tabs>
          <w:tab w:val="left" w:pos="0"/>
        </w:tabs>
        <w:ind w:right="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включении банка в реестр банков-участников системы обязательного страхования вкладов № 287.</w:t>
      </w:r>
    </w:p>
    <w:p w:rsidR="006B36DD" w:rsidRDefault="006B36DD" w:rsidP="006B36DD">
      <w:pPr>
        <w:tabs>
          <w:tab w:val="left" w:pos="0"/>
        </w:tabs>
        <w:ind w:right="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410031, Саратов, ул. Радищева, 28. Тел.: 26-06-13.</w:t>
      </w:r>
    </w:p>
    <w:p w:rsidR="006B36DD" w:rsidRDefault="006B36DD" w:rsidP="006B36DD">
      <w:pPr>
        <w:tabs>
          <w:tab w:val="left" w:pos="0"/>
        </w:tabs>
        <w:ind w:right="8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БИК 046311722, </w:t>
      </w:r>
      <w:proofErr w:type="spellStart"/>
      <w:r>
        <w:rPr>
          <w:rFonts w:ascii="Times New Roman" w:hAnsi="Times New Roman"/>
        </w:rPr>
        <w:t>Корр.счет</w:t>
      </w:r>
      <w:proofErr w:type="spellEnd"/>
      <w:r>
        <w:rPr>
          <w:rFonts w:ascii="Times New Roman" w:hAnsi="Times New Roman"/>
        </w:rPr>
        <w:t>: № 30101810100000000722,</w:t>
      </w:r>
    </w:p>
    <w:p w:rsidR="006B36DD" w:rsidRDefault="006B36DD" w:rsidP="006B36DD">
      <w:pPr>
        <w:tabs>
          <w:tab w:val="left" w:pos="0"/>
        </w:tabs>
        <w:spacing w:after="120"/>
        <w:ind w:right="8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ИНН 6450013459.</w:t>
      </w:r>
    </w:p>
    <w:p w:rsidR="006B36DD" w:rsidRDefault="006B36DD" w:rsidP="006B36DD">
      <w:pPr>
        <w:numPr>
          <w:ilvl w:val="1"/>
          <w:numId w:val="1"/>
        </w:numPr>
        <w:tabs>
          <w:tab w:val="left" w:pos="709"/>
        </w:tabs>
        <w:spacing w:after="120"/>
        <w:ind w:left="0" w:right="81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Акция проводится среди клиентов АО «</w:t>
      </w:r>
      <w:proofErr w:type="spellStart"/>
      <w:r>
        <w:rPr>
          <w:rFonts w:ascii="Times New Roman" w:hAnsi="Times New Roman"/>
        </w:rPr>
        <w:t>Экономбанк</w:t>
      </w:r>
      <w:proofErr w:type="spellEnd"/>
      <w:r>
        <w:rPr>
          <w:rFonts w:ascii="Times New Roman" w:hAnsi="Times New Roman"/>
        </w:rPr>
        <w:t>», являющихся физическими лицами и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предъявивших к оплате квитанцию за квартплату. В акции участвуют только клиенты, лично обратившиеся за услугой во все офисы и подразделения банка по Саратову и Саратовской области.</w:t>
      </w:r>
    </w:p>
    <w:p w:rsidR="006B36DD" w:rsidRDefault="006B36DD" w:rsidP="006B36DD">
      <w:pPr>
        <w:numPr>
          <w:ilvl w:val="1"/>
          <w:numId w:val="1"/>
        </w:numPr>
        <w:tabs>
          <w:tab w:val="left" w:pos="709"/>
        </w:tabs>
        <w:spacing w:after="120"/>
        <w:ind w:left="0" w:right="81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Акции не участвуют клиенты:</w:t>
      </w:r>
    </w:p>
    <w:p w:rsidR="006B36DD" w:rsidRDefault="006B36DD" w:rsidP="006B36DD">
      <w:pPr>
        <w:pStyle w:val="a4"/>
        <w:numPr>
          <w:ilvl w:val="0"/>
          <w:numId w:val="2"/>
        </w:numPr>
        <w:tabs>
          <w:tab w:val="left" w:pos="709"/>
        </w:tabs>
        <w:spacing w:after="120"/>
        <w:ind w:right="8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совершавшие оплату за квартплату через систему дистанционного банковского обслуживания «Эконом-о</w:t>
      </w:r>
      <w:proofErr w:type="spellStart"/>
      <w:r>
        <w:rPr>
          <w:rFonts w:ascii="Times New Roman" w:hAnsi="Times New Roman"/>
          <w:lang w:val="en-US"/>
        </w:rPr>
        <w:t>nline</w:t>
      </w:r>
      <w:proofErr w:type="spellEnd"/>
      <w:r>
        <w:rPr>
          <w:rFonts w:ascii="Times New Roman" w:hAnsi="Times New Roman"/>
        </w:rPr>
        <w:t>»;</w:t>
      </w:r>
    </w:p>
    <w:p w:rsidR="006B36DD" w:rsidRDefault="006B36DD" w:rsidP="006B36DD">
      <w:pPr>
        <w:pStyle w:val="a4"/>
        <w:numPr>
          <w:ilvl w:val="0"/>
          <w:numId w:val="2"/>
        </w:numPr>
        <w:tabs>
          <w:tab w:val="left" w:pos="709"/>
        </w:tabs>
        <w:spacing w:after="120"/>
        <w:ind w:right="8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совершавшие оплату за квартплату через Платежные киоски АО  «</w:t>
      </w:r>
      <w:proofErr w:type="spellStart"/>
      <w:r>
        <w:rPr>
          <w:rFonts w:ascii="Times New Roman" w:hAnsi="Times New Roman"/>
        </w:rPr>
        <w:t>Экономбанк</w:t>
      </w:r>
      <w:proofErr w:type="spellEnd"/>
      <w:r>
        <w:rPr>
          <w:rFonts w:ascii="Times New Roman" w:hAnsi="Times New Roman"/>
        </w:rPr>
        <w:t>»;</w:t>
      </w:r>
    </w:p>
    <w:p w:rsidR="006B36DD" w:rsidRDefault="006B36DD" w:rsidP="006B36DD">
      <w:pPr>
        <w:numPr>
          <w:ilvl w:val="1"/>
          <w:numId w:val="1"/>
        </w:numPr>
        <w:tabs>
          <w:tab w:val="left" w:pos="720"/>
        </w:tabs>
        <w:spacing w:after="120"/>
        <w:ind w:left="0" w:right="81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napToGrid w:val="0"/>
        </w:rPr>
        <w:t xml:space="preserve">Количество операций по оплате за квартплату, совершаемых клиентом </w:t>
      </w:r>
      <w:r>
        <w:rPr>
          <w:rFonts w:ascii="Times New Roman" w:hAnsi="Times New Roman"/>
        </w:rPr>
        <w:t>в АО «</w:t>
      </w:r>
      <w:proofErr w:type="spellStart"/>
      <w:r>
        <w:rPr>
          <w:rFonts w:ascii="Times New Roman" w:hAnsi="Times New Roman"/>
        </w:rPr>
        <w:t>Экономбанк</w:t>
      </w:r>
      <w:proofErr w:type="spellEnd"/>
      <w:r>
        <w:rPr>
          <w:rFonts w:ascii="Times New Roman" w:hAnsi="Times New Roman"/>
        </w:rPr>
        <w:t>» в течение акции</w:t>
      </w:r>
      <w:r>
        <w:rPr>
          <w:rFonts w:ascii="Times New Roman" w:hAnsi="Times New Roman"/>
          <w:snapToGrid w:val="0"/>
        </w:rPr>
        <w:t xml:space="preserve"> не ограничено. </w:t>
      </w:r>
    </w:p>
    <w:p w:rsidR="006B36DD" w:rsidRDefault="006B36DD" w:rsidP="006B36DD">
      <w:pPr>
        <w:numPr>
          <w:ilvl w:val="1"/>
          <w:numId w:val="1"/>
        </w:numPr>
        <w:tabs>
          <w:tab w:val="left" w:pos="720"/>
        </w:tabs>
        <w:spacing w:after="120"/>
        <w:ind w:left="0" w:right="816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Сутью акции </w:t>
      </w:r>
      <w:r>
        <w:rPr>
          <w:rFonts w:ascii="Times New Roman" w:hAnsi="Times New Roman"/>
        </w:rPr>
        <w:t xml:space="preserve">«Капитальный ремонт - бесплатно» является проведение оплаты за капитальный ремонт бесплатно, при одновременной оплате квитанции за квартплату.  </w:t>
      </w:r>
    </w:p>
    <w:p w:rsidR="006B36DD" w:rsidRDefault="006B36DD" w:rsidP="006B36DD">
      <w:pPr>
        <w:numPr>
          <w:ilvl w:val="1"/>
          <w:numId w:val="1"/>
        </w:numPr>
        <w:tabs>
          <w:tab w:val="left" w:pos="720"/>
        </w:tabs>
        <w:ind w:left="0" w:right="819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 проведения Акции с 01 июня 2016 г. по 31 августа 2016 г. включительно.</w:t>
      </w:r>
    </w:p>
    <w:p w:rsidR="006B36DD" w:rsidRDefault="006B36DD" w:rsidP="006B36DD">
      <w:pPr>
        <w:tabs>
          <w:tab w:val="left" w:pos="720"/>
        </w:tabs>
        <w:ind w:right="819"/>
        <w:jc w:val="both"/>
        <w:rPr>
          <w:rFonts w:ascii="Times New Roman" w:hAnsi="Times New Roman"/>
        </w:rPr>
      </w:pPr>
    </w:p>
    <w:p w:rsidR="006B36DD" w:rsidRDefault="006B36DD" w:rsidP="006B36DD">
      <w:pPr>
        <w:numPr>
          <w:ilvl w:val="0"/>
          <w:numId w:val="1"/>
        </w:numPr>
        <w:ind w:right="819"/>
        <w:jc w:val="center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Основные условия акции</w:t>
      </w:r>
    </w:p>
    <w:p w:rsidR="006B36DD" w:rsidRDefault="006B36DD" w:rsidP="006B36DD">
      <w:pPr>
        <w:pStyle w:val="a4"/>
        <w:numPr>
          <w:ilvl w:val="1"/>
          <w:numId w:val="3"/>
        </w:numPr>
        <w:spacing w:after="120"/>
        <w:ind w:left="0" w:right="816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lastRenderedPageBreak/>
        <w:t xml:space="preserve">Каждый клиент, совершивший платеж за квартплату в Банке, </w:t>
      </w:r>
      <w:r>
        <w:rPr>
          <w:rFonts w:ascii="Times New Roman" w:hAnsi="Times New Roman"/>
        </w:rPr>
        <w:t>имеет право на оплату квитанции за капитальный ремонт бесплатно.</w:t>
      </w:r>
    </w:p>
    <w:p w:rsidR="006B36DD" w:rsidRDefault="006B36DD" w:rsidP="006B36DD">
      <w:pPr>
        <w:pStyle w:val="a4"/>
        <w:numPr>
          <w:ilvl w:val="1"/>
          <w:numId w:val="3"/>
        </w:numPr>
        <w:spacing w:after="120"/>
        <w:ind w:left="0" w:right="816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При оплате одной квитанции за квартплату клиент имеет право оплатить только одну квитанцию за капитальный ремонт, при этом адреса объектов, за которые оплачиваются квартплата и капремонт, могут быть разными.</w:t>
      </w:r>
    </w:p>
    <w:p w:rsidR="006B36DD" w:rsidRDefault="006B36DD" w:rsidP="006B36DD">
      <w:pPr>
        <w:spacing w:after="120"/>
        <w:ind w:right="816"/>
        <w:jc w:val="both"/>
        <w:rPr>
          <w:rFonts w:ascii="Times New Roman" w:hAnsi="Times New Roman"/>
          <w:snapToGrid w:val="0"/>
        </w:rPr>
      </w:pPr>
    </w:p>
    <w:p w:rsidR="006B36DD" w:rsidRDefault="006B36DD" w:rsidP="006B36DD">
      <w:pPr>
        <w:pStyle w:val="a4"/>
        <w:numPr>
          <w:ilvl w:val="0"/>
          <w:numId w:val="3"/>
        </w:numPr>
        <w:spacing w:after="120"/>
        <w:ind w:right="816" w:hanging="357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 xml:space="preserve">Порядок проведения платежей в рамках акции </w:t>
      </w:r>
    </w:p>
    <w:p w:rsidR="006B36DD" w:rsidRDefault="006B36DD" w:rsidP="006B36DD">
      <w:pPr>
        <w:pStyle w:val="a4"/>
        <w:numPr>
          <w:ilvl w:val="1"/>
          <w:numId w:val="3"/>
        </w:numPr>
        <w:spacing w:after="120"/>
        <w:ind w:left="0" w:right="816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Для участия в акции клиент должен предъявить кассовому работнику (оператору) одну квитанцию на оплату квартплаты и одну квитанцию на оплату капитального ремонта. </w:t>
      </w:r>
    </w:p>
    <w:p w:rsidR="006B36DD" w:rsidRDefault="006B36DD" w:rsidP="006B36DD">
      <w:pPr>
        <w:pStyle w:val="a4"/>
        <w:numPr>
          <w:ilvl w:val="1"/>
          <w:numId w:val="3"/>
        </w:numPr>
        <w:spacing w:after="120"/>
        <w:ind w:left="0" w:right="816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Кассовый работник (оператор) в программе Банка первым проводит платеж за квартплату, после этого за капитальный ремонт, при этом установив отметку о проведении  платежа за квартплату. </w:t>
      </w:r>
    </w:p>
    <w:p w:rsidR="006B36DD" w:rsidRDefault="006B36DD" w:rsidP="006B36DD">
      <w:pPr>
        <w:pStyle w:val="a4"/>
        <w:numPr>
          <w:ilvl w:val="0"/>
          <w:numId w:val="3"/>
        </w:numPr>
        <w:ind w:right="819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</w:rPr>
        <w:t>Порядок информирования граждан о проведении акции</w:t>
      </w:r>
    </w:p>
    <w:p w:rsidR="006B36DD" w:rsidRDefault="006B36DD" w:rsidP="006B36DD">
      <w:pPr>
        <w:pStyle w:val="a4"/>
        <w:numPr>
          <w:ilvl w:val="1"/>
          <w:numId w:val="3"/>
        </w:numPr>
        <w:tabs>
          <w:tab w:val="num" w:pos="0"/>
        </w:tabs>
        <w:spacing w:after="120"/>
        <w:ind w:left="0" w:right="816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Текст настоящего Положения с момента его утверждения и по 31 августа 2016 года включительно, а также информацию о </w:t>
      </w:r>
      <w:r>
        <w:rPr>
          <w:rFonts w:ascii="Times New Roman" w:hAnsi="Times New Roman"/>
        </w:rPr>
        <w:t>досрочном прекращении акции (в случае такого прекращения)</w:t>
      </w:r>
      <w:r>
        <w:rPr>
          <w:rFonts w:ascii="Times New Roman" w:hAnsi="Times New Roman"/>
          <w:snapToGrid w:val="0"/>
        </w:rPr>
        <w:t xml:space="preserve"> Банк в обязательном порядке размещает во всех операционных залах по обслуживанию клиентов, а также на сайте банка </w:t>
      </w:r>
      <w:hyperlink r:id="rId5" w:history="1">
        <w:r>
          <w:rPr>
            <w:rStyle w:val="a3"/>
            <w:rFonts w:ascii="Times New Roman" w:hAnsi="Times New Roman"/>
            <w:snapToGrid w:val="0"/>
            <w:lang w:val="en-US"/>
          </w:rPr>
          <w:t>www</w:t>
        </w:r>
        <w:r>
          <w:rPr>
            <w:rStyle w:val="a3"/>
            <w:rFonts w:ascii="Times New Roman" w:hAnsi="Times New Roman"/>
            <w:snapToGrid w:val="0"/>
          </w:rPr>
          <w:t>.</w:t>
        </w:r>
        <w:proofErr w:type="spellStart"/>
        <w:r>
          <w:rPr>
            <w:rStyle w:val="a3"/>
            <w:rFonts w:ascii="Times New Roman" w:hAnsi="Times New Roman"/>
            <w:snapToGrid w:val="0"/>
            <w:lang w:val="en-US"/>
          </w:rPr>
          <w:t>econombank</w:t>
        </w:r>
        <w:proofErr w:type="spellEnd"/>
        <w:r>
          <w:rPr>
            <w:rStyle w:val="a3"/>
            <w:rFonts w:ascii="Times New Roman" w:hAnsi="Times New Roman"/>
            <w:snapToGrid w:val="0"/>
          </w:rPr>
          <w:t>.</w:t>
        </w:r>
        <w:proofErr w:type="spellStart"/>
        <w:r>
          <w:rPr>
            <w:rStyle w:val="a3"/>
            <w:rFonts w:ascii="Times New Roman" w:hAnsi="Times New Roman"/>
            <w:snapToGrid w:val="0"/>
            <w:lang w:val="en-US"/>
          </w:rPr>
          <w:t>ru</w:t>
        </w:r>
        <w:proofErr w:type="spellEnd"/>
      </w:hyperlink>
      <w:r>
        <w:rPr>
          <w:rFonts w:ascii="Times New Roman" w:hAnsi="Times New Roman"/>
          <w:snapToGrid w:val="0"/>
        </w:rPr>
        <w:t>.</w:t>
      </w:r>
    </w:p>
    <w:p w:rsidR="006B36DD" w:rsidRDefault="006B36DD" w:rsidP="006B36DD">
      <w:pPr>
        <w:pStyle w:val="a4"/>
        <w:numPr>
          <w:ilvl w:val="1"/>
          <w:numId w:val="3"/>
        </w:numPr>
        <w:tabs>
          <w:tab w:val="num" w:pos="0"/>
        </w:tabs>
        <w:spacing w:after="120"/>
        <w:ind w:left="0" w:right="816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АО «</w:t>
      </w:r>
      <w:proofErr w:type="spellStart"/>
      <w:r>
        <w:rPr>
          <w:rFonts w:ascii="Times New Roman" w:hAnsi="Times New Roman"/>
          <w:snapToGrid w:val="0"/>
        </w:rPr>
        <w:t>Экономбанк</w:t>
      </w:r>
      <w:proofErr w:type="spellEnd"/>
      <w:r>
        <w:rPr>
          <w:rFonts w:ascii="Times New Roman" w:hAnsi="Times New Roman"/>
          <w:snapToGrid w:val="0"/>
        </w:rPr>
        <w:t xml:space="preserve">» оставляет за собой право размещать информацию о проведении акции в средствах массовой информации, в </w:t>
      </w:r>
      <w:proofErr w:type="spellStart"/>
      <w:r>
        <w:rPr>
          <w:rFonts w:ascii="Times New Roman" w:hAnsi="Times New Roman"/>
          <w:snapToGrid w:val="0"/>
        </w:rPr>
        <w:t>т.ч</w:t>
      </w:r>
      <w:proofErr w:type="spellEnd"/>
      <w:r>
        <w:rPr>
          <w:rFonts w:ascii="Times New Roman" w:hAnsi="Times New Roman"/>
          <w:snapToGrid w:val="0"/>
        </w:rPr>
        <w:t>. электронных, а также проводить рекламную компанию любыми другими способами.</w:t>
      </w:r>
    </w:p>
    <w:p w:rsidR="006B36DD" w:rsidRDefault="006B36DD" w:rsidP="006B36DD">
      <w:pPr>
        <w:pStyle w:val="a4"/>
        <w:numPr>
          <w:ilvl w:val="1"/>
          <w:numId w:val="3"/>
        </w:numPr>
        <w:tabs>
          <w:tab w:val="num" w:pos="0"/>
        </w:tabs>
        <w:spacing w:after="120"/>
        <w:ind w:left="0" w:right="816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АО «</w:t>
      </w:r>
      <w:proofErr w:type="spellStart"/>
      <w:r>
        <w:rPr>
          <w:rFonts w:ascii="Times New Roman" w:hAnsi="Times New Roman"/>
          <w:snapToGrid w:val="0"/>
        </w:rPr>
        <w:t>Экономбанк</w:t>
      </w:r>
      <w:proofErr w:type="spellEnd"/>
      <w:r>
        <w:rPr>
          <w:rFonts w:ascii="Times New Roman" w:hAnsi="Times New Roman"/>
          <w:snapToGrid w:val="0"/>
        </w:rPr>
        <w:t>» оставляет за собой право, не ущемляя интересы клиентов, изменять или исключать любые условия настоящего Положения по своему усмотрению, а также вводить дополнительные условия.</w:t>
      </w:r>
    </w:p>
    <w:p w:rsidR="006B36DD" w:rsidRDefault="006B36DD" w:rsidP="006B36DD">
      <w:pPr>
        <w:pStyle w:val="a4"/>
        <w:numPr>
          <w:ilvl w:val="1"/>
          <w:numId w:val="3"/>
        </w:numPr>
        <w:tabs>
          <w:tab w:val="num" w:pos="0"/>
        </w:tabs>
        <w:spacing w:after="120"/>
        <w:ind w:left="0" w:right="816" w:firstLine="0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Условия настоящего Положения имеют преимущественную силу в отношении содержания любого рекламного или информационного материала, касающегося акции.</w:t>
      </w:r>
    </w:p>
    <w:p w:rsidR="006B36DD" w:rsidRDefault="006B36DD" w:rsidP="006B36DD">
      <w:pPr>
        <w:rPr>
          <w:rFonts w:ascii="Times New Roman" w:hAnsi="Times New Roman"/>
        </w:rPr>
      </w:pPr>
    </w:p>
    <w:p w:rsidR="006B36DD" w:rsidRDefault="006B36DD" w:rsidP="006B36DD">
      <w:pPr>
        <w:rPr>
          <w:rFonts w:ascii="Times New Roman" w:hAnsi="Times New Roman"/>
        </w:rPr>
      </w:pPr>
    </w:p>
    <w:p w:rsidR="00E625FC" w:rsidRDefault="00E625FC">
      <w:bookmarkStart w:id="0" w:name="_GoBack"/>
      <w:bookmarkEnd w:id="0"/>
    </w:p>
    <w:sectPr w:rsidR="00E6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941FE"/>
    <w:multiLevelType w:val="multilevel"/>
    <w:tmpl w:val="D1F0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" w15:restartNumberingAfterBreak="0">
    <w:nsid w:val="541B469A"/>
    <w:multiLevelType w:val="hybridMultilevel"/>
    <w:tmpl w:val="84B81F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860A04"/>
    <w:multiLevelType w:val="multilevel"/>
    <w:tmpl w:val="2AB4806C"/>
    <w:lvl w:ilvl="0">
      <w:start w:val="2"/>
      <w:numFmt w:val="decimal"/>
      <w:lvlText w:val="%1."/>
      <w:lvlJc w:val="left"/>
      <w:pPr>
        <w:tabs>
          <w:tab w:val="num" w:pos="845"/>
        </w:tabs>
        <w:ind w:left="8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205"/>
        </w:tabs>
        <w:ind w:left="120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05"/>
        </w:tabs>
        <w:ind w:left="120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65"/>
        </w:tabs>
        <w:ind w:left="156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65"/>
        </w:tabs>
        <w:ind w:left="156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25"/>
        </w:tabs>
        <w:ind w:left="19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25"/>
        </w:tabs>
        <w:ind w:left="192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85"/>
        </w:tabs>
        <w:ind w:left="228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85"/>
        </w:tabs>
        <w:ind w:left="22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E9"/>
    <w:rsid w:val="006B36DD"/>
    <w:rsid w:val="00782CE9"/>
    <w:rsid w:val="00E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1DBCF-3F69-4719-8D08-599DE202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D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B36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6DD"/>
    <w:pPr>
      <w:ind w:left="720"/>
      <w:contextualSpacing/>
    </w:pPr>
  </w:style>
  <w:style w:type="paragraph" w:customStyle="1" w:styleId="1">
    <w:name w:val="заголовок 1"/>
    <w:basedOn w:val="a"/>
    <w:next w:val="a"/>
    <w:rsid w:val="006B36DD"/>
    <w:pPr>
      <w:keepNext/>
      <w:ind w:firstLine="1134"/>
      <w:jc w:val="right"/>
      <w:outlineLvl w:val="0"/>
    </w:pPr>
    <w:rPr>
      <w:rFonts w:ascii="Bookman Old Style" w:hAnsi="Bookman Old Sty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om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Екатерина</dc:creator>
  <cp:keywords/>
  <dc:description/>
  <cp:lastModifiedBy>Максимова Екатерина</cp:lastModifiedBy>
  <cp:revision>2</cp:revision>
  <dcterms:created xsi:type="dcterms:W3CDTF">2016-07-07T08:36:00Z</dcterms:created>
  <dcterms:modified xsi:type="dcterms:W3CDTF">2016-07-07T08:36:00Z</dcterms:modified>
</cp:coreProperties>
</file>