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1D6163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C62B0F" w:rsidP="002951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9512A">
              <w:rPr>
                <w:b/>
                <w:i/>
                <w:sz w:val="20"/>
                <w:szCs w:val="20"/>
              </w:rPr>
              <w:t>2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29512A">
              <w:rPr>
                <w:b/>
                <w:i/>
                <w:sz w:val="20"/>
                <w:szCs w:val="20"/>
              </w:rPr>
              <w:t xml:space="preserve">июня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C62B0F">
              <w:rPr>
                <w:b/>
                <w:sz w:val="20"/>
                <w:szCs w:val="20"/>
              </w:rPr>
              <w:t>2</w:t>
            </w:r>
            <w:r w:rsidR="0029512A">
              <w:rPr>
                <w:b/>
                <w:sz w:val="20"/>
                <w:szCs w:val="20"/>
              </w:rPr>
              <w:t>2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29512A">
              <w:rPr>
                <w:b/>
                <w:sz w:val="20"/>
                <w:szCs w:val="20"/>
              </w:rPr>
              <w:t xml:space="preserve">июня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C62B0F">
              <w:rPr>
                <w:b/>
                <w:sz w:val="20"/>
                <w:szCs w:val="20"/>
              </w:rPr>
              <w:t>2</w:t>
            </w:r>
            <w:r w:rsidR="0029512A">
              <w:rPr>
                <w:b/>
                <w:sz w:val="20"/>
                <w:szCs w:val="20"/>
              </w:rPr>
              <w:t>8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29512A">
              <w:rPr>
                <w:b/>
                <w:sz w:val="20"/>
                <w:szCs w:val="20"/>
              </w:rPr>
              <w:t xml:space="preserve">июня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29512A" w:rsidRPr="0029512A" w:rsidRDefault="0029512A" w:rsidP="0029512A">
            <w:pPr>
              <w:pStyle w:val="af"/>
              <w:tabs>
                <w:tab w:val="left" w:pos="142"/>
                <w:tab w:val="left" w:pos="284"/>
              </w:tabs>
              <w:spacing w:after="60" w:line="220" w:lineRule="exact"/>
              <w:ind w:left="136" w:right="158" w:firstLine="431"/>
              <w:jc w:val="both"/>
              <w:rPr>
                <w:b/>
                <w:kern w:val="1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Pr="0029512A">
              <w:rPr>
                <w:b/>
                <w:kern w:val="1"/>
              </w:rPr>
              <w:t xml:space="preserve">. Утверждение отчета об итогах работы Службы внутреннего аудита АО «Экономбанк» за 1-й квартал 2021 года. </w:t>
            </w:r>
          </w:p>
          <w:p w:rsidR="0029512A" w:rsidRPr="0029512A" w:rsidRDefault="0029512A" w:rsidP="0029512A">
            <w:pPr>
              <w:pStyle w:val="af"/>
              <w:tabs>
                <w:tab w:val="left" w:pos="142"/>
                <w:tab w:val="left" w:pos="284"/>
              </w:tabs>
              <w:spacing w:after="60" w:line="220" w:lineRule="exact"/>
              <w:ind w:left="136" w:right="158" w:firstLine="431"/>
              <w:jc w:val="both"/>
              <w:rPr>
                <w:b/>
                <w:kern w:val="1"/>
              </w:rPr>
            </w:pPr>
            <w:r w:rsidRPr="0029512A">
              <w:rPr>
                <w:b/>
                <w:kern w:val="1"/>
              </w:rPr>
              <w:t>2. Утверждение Плана работы Службы внутреннего аудита АО «Экономбанк» на 3-й квартал 2021 года.</w:t>
            </w:r>
          </w:p>
          <w:p w:rsidR="0029512A" w:rsidRPr="0029512A" w:rsidRDefault="0029512A" w:rsidP="0029512A">
            <w:pPr>
              <w:pStyle w:val="af"/>
              <w:tabs>
                <w:tab w:val="left" w:pos="142"/>
                <w:tab w:val="left" w:pos="284"/>
              </w:tabs>
              <w:spacing w:after="60" w:line="220" w:lineRule="exact"/>
              <w:ind w:left="136" w:right="158" w:firstLine="431"/>
              <w:jc w:val="both"/>
              <w:rPr>
                <w:b/>
                <w:kern w:val="1"/>
              </w:rPr>
            </w:pPr>
            <w:r w:rsidRPr="0029512A">
              <w:rPr>
                <w:b/>
                <w:kern w:val="1"/>
              </w:rPr>
              <w:t xml:space="preserve">3. О состоянии системы управления рисками в АО «Экономбанк» в 1 квартале 2021 года. </w:t>
            </w:r>
          </w:p>
          <w:p w:rsidR="0029512A" w:rsidRPr="0029512A" w:rsidRDefault="0029512A" w:rsidP="0029512A">
            <w:pPr>
              <w:pStyle w:val="af"/>
              <w:tabs>
                <w:tab w:val="left" w:pos="142"/>
                <w:tab w:val="left" w:pos="284"/>
              </w:tabs>
              <w:spacing w:after="60" w:line="220" w:lineRule="exact"/>
              <w:ind w:left="136" w:right="158" w:firstLine="431"/>
              <w:jc w:val="both"/>
              <w:rPr>
                <w:b/>
                <w:kern w:val="1"/>
              </w:rPr>
            </w:pPr>
            <w:r w:rsidRPr="0029512A">
              <w:rPr>
                <w:b/>
                <w:kern w:val="1"/>
              </w:rPr>
              <w:t xml:space="preserve">4. Утверждение отчета о работе Службы внутреннего контроля в 1 квартале 2021 года. </w:t>
            </w:r>
          </w:p>
          <w:p w:rsidR="00054E38" w:rsidRPr="00BD6C86" w:rsidRDefault="00054E38" w:rsidP="00691686">
            <w:pPr>
              <w:pStyle w:val="af"/>
              <w:tabs>
                <w:tab w:val="left" w:pos="142"/>
                <w:tab w:val="left" w:pos="284"/>
              </w:tabs>
              <w:spacing w:line="220" w:lineRule="exact"/>
              <w:ind w:left="136" w:right="158" w:firstLine="431"/>
              <w:jc w:val="both"/>
            </w:pP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62B0F" w:rsidP="002951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9512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29512A" w:rsidP="002951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июня</w:t>
            </w:r>
            <w:bookmarkStart w:id="2" w:name="_GoBack"/>
            <w:bookmarkEnd w:id="2"/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63" w:rsidRDefault="001D6163">
      <w:r>
        <w:separator/>
      </w:r>
    </w:p>
  </w:endnote>
  <w:endnote w:type="continuationSeparator" w:id="0">
    <w:p w:rsidR="001D6163" w:rsidRDefault="001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63" w:rsidRDefault="001D6163">
      <w:r>
        <w:separator/>
      </w:r>
    </w:p>
  </w:footnote>
  <w:footnote w:type="continuationSeparator" w:id="0">
    <w:p w:rsidR="001D6163" w:rsidRDefault="001D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D6163"/>
    <w:rsid w:val="001E44F0"/>
    <w:rsid w:val="00246B58"/>
    <w:rsid w:val="00247C3C"/>
    <w:rsid w:val="00251853"/>
    <w:rsid w:val="002847A2"/>
    <w:rsid w:val="0029512A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168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1770"/>
    <w:rsid w:val="00BF255E"/>
    <w:rsid w:val="00BF545D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5FA7B9B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1871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2021-06-23T10:35:00Z</dcterms:created>
  <dcterms:modified xsi:type="dcterms:W3CDTF">2021-06-23T10:35:00Z</dcterms:modified>
</cp:coreProperties>
</file>