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Default="00F11568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>
        <w:rPr>
          <w:b/>
          <w:bCs/>
          <w:sz w:val="20"/>
          <w:szCs w:val="20"/>
        </w:rPr>
        <w:t xml:space="preserve">Акционерное общество </w:t>
      </w:r>
    </w:p>
    <w:p w:rsidR="00832B86" w:rsidRDefault="00F1156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832B86" w:rsidRDefault="00832B86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Сообщение о существенном факте </w:t>
      </w: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BA0516" w:rsidRPr="00BA0516" w:rsidRDefault="00BA0516" w:rsidP="00BA0516">
      <w:pPr>
        <w:pStyle w:val="a0"/>
        <w:rPr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</w:pPr>
            <w:r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B779B" w:rsidRDefault="00813256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EB779B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EB779B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EB779B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Default="00832B86" w:rsidP="00DA7E3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Default="00DA7E37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DA7E37" w:rsidRDefault="00DC28F8" w:rsidP="00DC28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="00DA7E37" w:rsidRPr="00DA7E37">
              <w:rPr>
                <w:b/>
                <w:i/>
              </w:rPr>
              <w:t>.</w:t>
            </w:r>
            <w:r>
              <w:rPr>
                <w:b/>
                <w:i/>
              </w:rPr>
              <w:t>02</w:t>
            </w:r>
            <w:r w:rsidR="00DA7E37" w:rsidRPr="00DA7E37">
              <w:rPr>
                <w:b/>
                <w:i/>
              </w:rPr>
              <w:t>.201</w:t>
            </w:r>
            <w:r>
              <w:rPr>
                <w:b/>
                <w:i/>
              </w:rPr>
              <w:t>9</w:t>
            </w:r>
            <w:r w:rsidR="00DA7E37">
              <w:rPr>
                <w:b/>
                <w:i/>
              </w:rPr>
              <w:t xml:space="preserve"> года</w:t>
            </w:r>
          </w:p>
        </w:tc>
      </w:tr>
      <w:tr w:rsidR="00832B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 Содержание сообщения</w:t>
            </w:r>
          </w:p>
        </w:tc>
      </w:tr>
      <w:tr w:rsidR="00832B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Default="00920CB8" w:rsidP="00920CB8">
            <w:pPr>
              <w:pStyle w:val="Standard"/>
              <w:ind w:left="142" w:right="140"/>
              <w:jc w:val="both"/>
            </w:pPr>
            <w: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DC28F8">
              <w:rPr>
                <w:b/>
                <w:i/>
              </w:rPr>
              <w:t>07</w:t>
            </w:r>
            <w:r w:rsidR="00A3181F">
              <w:rPr>
                <w:b/>
                <w:i/>
              </w:rPr>
              <w:t xml:space="preserve"> </w:t>
            </w:r>
            <w:r w:rsidR="00DC28F8">
              <w:rPr>
                <w:b/>
                <w:i/>
              </w:rPr>
              <w:t>февраля</w:t>
            </w:r>
            <w:r w:rsidR="00BA051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</w:t>
            </w:r>
            <w:r w:rsidR="00DC28F8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года.</w:t>
            </w:r>
          </w:p>
          <w:p w:rsidR="00DA7E37" w:rsidRDefault="00DA7E37" w:rsidP="00920CB8">
            <w:pPr>
              <w:pStyle w:val="Standard"/>
              <w:ind w:left="142" w:right="140"/>
              <w:jc w:val="both"/>
            </w:pPr>
          </w:p>
          <w:p w:rsidR="00920CB8" w:rsidRDefault="00920CB8" w:rsidP="00920CB8">
            <w:pPr>
              <w:pStyle w:val="Standard"/>
              <w:ind w:left="142" w:right="140"/>
              <w:jc w:val="both"/>
            </w:pPr>
            <w:r>
              <w:t>2.2. дата проведения заседания совета директоров эмитента:</w:t>
            </w:r>
            <w:r w:rsidR="00A3181F">
              <w:t xml:space="preserve"> </w:t>
            </w:r>
            <w:r>
              <w:t xml:space="preserve">Заочное голосование, дата окончания приема опросных листов </w:t>
            </w:r>
            <w:r w:rsidR="00DC28F8">
              <w:rPr>
                <w:b/>
                <w:i/>
              </w:rPr>
              <w:t>08</w:t>
            </w:r>
            <w:r w:rsidR="00917618">
              <w:rPr>
                <w:b/>
                <w:i/>
              </w:rPr>
              <w:t xml:space="preserve"> </w:t>
            </w:r>
            <w:r w:rsidR="00DC28F8">
              <w:rPr>
                <w:b/>
                <w:i/>
              </w:rPr>
              <w:t>февраля</w:t>
            </w:r>
            <w:r w:rsidR="007162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201</w:t>
            </w:r>
            <w:r w:rsidR="00DC28F8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года.</w:t>
            </w:r>
          </w:p>
          <w:p w:rsidR="00DA7E37" w:rsidRDefault="00920CB8" w:rsidP="00920CB8">
            <w:pPr>
              <w:pStyle w:val="Standard"/>
              <w:ind w:right="140"/>
              <w:jc w:val="both"/>
            </w:pPr>
            <w:r>
              <w:t xml:space="preserve">  </w:t>
            </w:r>
          </w:p>
          <w:p w:rsidR="00920CB8" w:rsidRDefault="00DA7E37" w:rsidP="00920CB8">
            <w:pPr>
              <w:pStyle w:val="Standard"/>
              <w:ind w:right="140"/>
              <w:jc w:val="both"/>
            </w:pPr>
            <w:r>
              <w:t xml:space="preserve">  </w:t>
            </w:r>
            <w:r w:rsidR="00920CB8">
              <w:t>2.3.повестка дня заседания совета директоров эмитента:</w:t>
            </w:r>
          </w:p>
          <w:p w:rsidR="00716261" w:rsidRPr="00917618" w:rsidRDefault="00716261" w:rsidP="00920CB8">
            <w:pPr>
              <w:pStyle w:val="Standard"/>
              <w:ind w:right="140"/>
              <w:jc w:val="both"/>
            </w:pPr>
          </w:p>
          <w:p w:rsidR="00DC28F8" w:rsidRPr="00C77A89" w:rsidRDefault="00DC28F8" w:rsidP="00DC28F8">
            <w:pPr>
              <w:pStyle w:val="af0"/>
              <w:tabs>
                <w:tab w:val="left" w:pos="142"/>
                <w:tab w:val="left" w:pos="284"/>
              </w:tabs>
              <w:ind w:left="142" w:right="16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1. </w:t>
            </w:r>
            <w:r w:rsidRPr="006312A4">
              <w:rPr>
                <w:iCs/>
                <w:color w:val="000000"/>
                <w:sz w:val="24"/>
                <w:szCs w:val="24"/>
              </w:rPr>
              <w:t xml:space="preserve">Утверждение Плана </w:t>
            </w:r>
            <w:r w:rsidRPr="006312A4">
              <w:rPr>
                <w:sz w:val="24"/>
                <w:szCs w:val="24"/>
              </w:rPr>
              <w:t>работы Службы внутреннего аудита АО «Экономбанк» на 2019 год</w:t>
            </w:r>
            <w:r>
              <w:rPr>
                <w:sz w:val="24"/>
                <w:szCs w:val="24"/>
              </w:rPr>
              <w:t xml:space="preserve"> и </w:t>
            </w:r>
            <w:r w:rsidRPr="006312A4">
              <w:rPr>
                <w:sz w:val="24"/>
                <w:szCs w:val="24"/>
              </w:rPr>
              <w:t>на 1-й квартал 2019 года</w:t>
            </w:r>
            <w:r w:rsidRPr="00C77A89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  <w:p w:rsidR="006925AD" w:rsidRPr="006925AD" w:rsidRDefault="006925AD" w:rsidP="00DC28F8">
            <w:pPr>
              <w:pStyle w:val="af0"/>
              <w:tabs>
                <w:tab w:val="left" w:pos="142"/>
                <w:tab w:val="left" w:pos="284"/>
                <w:tab w:val="left" w:pos="426"/>
              </w:tabs>
              <w:suppressAutoHyphens w:val="0"/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DA7E37" w:rsidRDefault="00DA7E37" w:rsidP="00D86053">
            <w:pPr>
              <w:tabs>
                <w:tab w:val="left" w:pos="284"/>
              </w:tabs>
              <w:spacing w:line="220" w:lineRule="exact"/>
              <w:ind w:left="142" w:right="162"/>
              <w:jc w:val="both"/>
            </w:pPr>
          </w:p>
        </w:tc>
      </w:tr>
    </w:tbl>
    <w:p w:rsidR="00832B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832B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3. Подпись</w:t>
            </w:r>
          </w:p>
        </w:tc>
      </w:tr>
      <w:tr w:rsidR="00832B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Default="00BA051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1568">
              <w:rPr>
                <w:sz w:val="20"/>
                <w:szCs w:val="20"/>
              </w:rPr>
              <w:t xml:space="preserve">3.1. </w:t>
            </w:r>
            <w:r w:rsidR="00F11568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И. О. Фамилия</w:t>
            </w:r>
          </w:p>
        </w:tc>
      </w:tr>
      <w:tr w:rsidR="00832B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Default="00F1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sz w:val="20"/>
                <w:szCs w:val="20"/>
              </w:rPr>
              <w:t>В.В.Шанкот</w:t>
            </w:r>
          </w:p>
        </w:tc>
      </w:tr>
      <w:tr w:rsidR="00832B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2B8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11568">
              <w:rPr>
                <w:sz w:val="20"/>
                <w:szCs w:val="20"/>
              </w:rPr>
              <w:t>3.2. Дата</w:t>
            </w:r>
            <w:r w:rsidR="00F11568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A0516" w:rsidRDefault="00DC28F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A051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A0516" w:rsidRDefault="00DC28F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  <w:r w:rsidR="00F11568" w:rsidRPr="00BA0516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DC28F8">
              <w:rPr>
                <w:b/>
                <w:i/>
                <w:sz w:val="20"/>
                <w:szCs w:val="20"/>
              </w:rPr>
              <w:t>9</w:t>
            </w:r>
            <w:bookmarkStart w:id="2" w:name="_GoBack"/>
            <w:bookmarkEnd w:id="2"/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Default="00F11568">
            <w:r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</w:pPr>
          </w:p>
        </w:tc>
      </w:tr>
      <w:tr w:rsidR="00832B8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Default="00F11568">
      <w:pPr>
        <w:pStyle w:val="ab"/>
        <w:tabs>
          <w:tab w:val="clear" w:pos="4677"/>
          <w:tab w:val="clear" w:pos="9355"/>
        </w:tabs>
      </w:pPr>
    </w:p>
    <w:sectPr w:rsidR="00F115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56" w:rsidRDefault="00813256">
      <w:r>
        <w:separator/>
      </w:r>
    </w:p>
  </w:endnote>
  <w:endnote w:type="continuationSeparator" w:id="0">
    <w:p w:rsidR="00813256" w:rsidRDefault="0081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56" w:rsidRDefault="00813256">
      <w:r>
        <w:separator/>
      </w:r>
    </w:p>
  </w:footnote>
  <w:footnote w:type="continuationSeparator" w:id="0">
    <w:p w:rsidR="00813256" w:rsidRDefault="0081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102587"/>
    <w:rsid w:val="00247C3C"/>
    <w:rsid w:val="00475DA5"/>
    <w:rsid w:val="006925AD"/>
    <w:rsid w:val="00706E27"/>
    <w:rsid w:val="00716261"/>
    <w:rsid w:val="007B3716"/>
    <w:rsid w:val="007F720A"/>
    <w:rsid w:val="00813256"/>
    <w:rsid w:val="00820C7A"/>
    <w:rsid w:val="00832B86"/>
    <w:rsid w:val="00905650"/>
    <w:rsid w:val="00917618"/>
    <w:rsid w:val="00920CB8"/>
    <w:rsid w:val="009B65A0"/>
    <w:rsid w:val="00A3181F"/>
    <w:rsid w:val="00A87CE7"/>
    <w:rsid w:val="00B1307B"/>
    <w:rsid w:val="00B41A16"/>
    <w:rsid w:val="00BA0516"/>
    <w:rsid w:val="00BF545D"/>
    <w:rsid w:val="00C23EDA"/>
    <w:rsid w:val="00C90FE0"/>
    <w:rsid w:val="00D4691D"/>
    <w:rsid w:val="00D86053"/>
    <w:rsid w:val="00DA7E37"/>
    <w:rsid w:val="00DC28F8"/>
    <w:rsid w:val="00E93626"/>
    <w:rsid w:val="00EF1E20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1565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2018-12-24T06:50:00Z</cp:lastPrinted>
  <dcterms:created xsi:type="dcterms:W3CDTF">2019-02-08T04:39:00Z</dcterms:created>
  <dcterms:modified xsi:type="dcterms:W3CDTF">2019-02-08T04:39:00Z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