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Pr="00EC581A" w:rsidRDefault="00F11568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  <w:r w:rsidRPr="00EC581A">
        <w:rPr>
          <w:b/>
          <w:bCs/>
          <w:sz w:val="22"/>
          <w:szCs w:val="22"/>
        </w:rPr>
        <w:t xml:space="preserve">Акционерное общество </w:t>
      </w:r>
    </w:p>
    <w:p w:rsidR="00832B86" w:rsidRPr="00EC581A" w:rsidRDefault="00F11568">
      <w:pPr>
        <w:jc w:val="center"/>
        <w:rPr>
          <w:b/>
          <w:sz w:val="22"/>
          <w:szCs w:val="22"/>
        </w:rPr>
      </w:pPr>
      <w:r w:rsidRPr="00EC581A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B5530F" w:rsidRPr="00EC581A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00FC4" w:rsidRPr="00EC581A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EC581A">
        <w:rPr>
          <w:color w:val="auto"/>
          <w:sz w:val="22"/>
          <w:szCs w:val="22"/>
        </w:rPr>
        <w:t xml:space="preserve">Сообщение о существенном факте </w:t>
      </w:r>
    </w:p>
    <w:p w:rsidR="00F00FC4" w:rsidRPr="00EC581A" w:rsidRDefault="00F00FC4" w:rsidP="0047213E">
      <w:pPr>
        <w:jc w:val="center"/>
        <w:rPr>
          <w:b/>
          <w:sz w:val="22"/>
          <w:szCs w:val="22"/>
        </w:rPr>
      </w:pPr>
      <w:r w:rsidRPr="00EC581A">
        <w:rPr>
          <w:b/>
          <w:sz w:val="22"/>
          <w:szCs w:val="22"/>
        </w:rPr>
        <w:t>«</w:t>
      </w:r>
      <w:r w:rsidR="002F6849" w:rsidRPr="00EC581A">
        <w:rPr>
          <w:b/>
          <w:sz w:val="22"/>
          <w:szCs w:val="22"/>
        </w:rPr>
        <w:t>О</w:t>
      </w:r>
      <w:r w:rsidR="0047213E" w:rsidRPr="00EC581A">
        <w:rPr>
          <w:b/>
          <w:sz w:val="22"/>
          <w:szCs w:val="22"/>
        </w:rPr>
        <w:t xml:space="preserve"> созыве общего собрания акционеров эмитента</w:t>
      </w:r>
      <w:r w:rsidRPr="00EC581A">
        <w:rPr>
          <w:b/>
          <w:sz w:val="22"/>
          <w:szCs w:val="22"/>
        </w:rPr>
        <w:t>»</w:t>
      </w:r>
    </w:p>
    <w:p w:rsidR="00BA0516" w:rsidRPr="00EC581A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EC581A" w:rsidRPr="00EC581A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 Общие сведения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C581A" w:rsidRDefault="00D248D2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EC581A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EC581A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EC581A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EC581A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EC581A" w:rsidRDefault="00DA7E37">
            <w:pPr>
              <w:ind w:left="57" w:right="57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C581A" w:rsidRDefault="009E1525" w:rsidP="009E1525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10</w:t>
            </w:r>
            <w:r w:rsidR="00DA7E37" w:rsidRPr="00EC581A">
              <w:rPr>
                <w:b/>
                <w:sz w:val="22"/>
                <w:szCs w:val="22"/>
              </w:rPr>
              <w:t>.</w:t>
            </w:r>
            <w:r w:rsidR="00DC28F8" w:rsidRPr="00EC581A">
              <w:rPr>
                <w:b/>
                <w:sz w:val="22"/>
                <w:szCs w:val="22"/>
              </w:rPr>
              <w:t>0</w:t>
            </w:r>
            <w:r w:rsidRPr="00EC581A">
              <w:rPr>
                <w:b/>
                <w:sz w:val="22"/>
                <w:szCs w:val="22"/>
              </w:rPr>
              <w:t>6</w:t>
            </w:r>
            <w:r w:rsidR="00DA7E37" w:rsidRPr="00EC581A">
              <w:rPr>
                <w:b/>
                <w:sz w:val="22"/>
                <w:szCs w:val="22"/>
              </w:rPr>
              <w:t>.20</w:t>
            </w:r>
            <w:r w:rsidRPr="00EC581A">
              <w:rPr>
                <w:b/>
                <w:sz w:val="22"/>
                <w:szCs w:val="22"/>
              </w:rPr>
              <w:t>20</w:t>
            </w:r>
            <w:r w:rsidR="00DA7E37" w:rsidRPr="00EC581A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EC581A" w:rsidRPr="00EC581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C581A">
              <w:rPr>
                <w:sz w:val="22"/>
                <w:szCs w:val="22"/>
              </w:rPr>
              <w:t>2. Содержание сообщения</w:t>
            </w:r>
          </w:p>
        </w:tc>
      </w:tr>
      <w:tr w:rsidR="00EC581A" w:rsidRPr="00EC581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 xml:space="preserve">2.1. вид общего собрания акционеров эмитента (годовое (очередное), внеочередное): </w:t>
            </w:r>
            <w:r w:rsidRPr="00EC581A">
              <w:rPr>
                <w:sz w:val="20"/>
                <w:szCs w:val="20"/>
              </w:rPr>
              <w:t>Годовое</w:t>
            </w: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 xml:space="preserve">2.2. форма проведения общего собрания акционеров эмитента (собрание (совместное присутствие) или заочное голосование): </w:t>
            </w:r>
            <w:r w:rsidR="009E1525" w:rsidRPr="00EC581A">
              <w:rPr>
                <w:bCs/>
                <w:sz w:val="20"/>
                <w:szCs w:val="20"/>
              </w:rPr>
              <w:t>заочное голосование</w:t>
            </w: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2.3. дата, место, время проведения общего собрания акционеров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</w:t>
            </w:r>
          </w:p>
          <w:p w:rsidR="00D20922" w:rsidRPr="00EC581A" w:rsidRDefault="00D20922" w:rsidP="00166925">
            <w:pPr>
              <w:spacing w:line="220" w:lineRule="exact"/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sz w:val="20"/>
                <w:szCs w:val="20"/>
              </w:rPr>
              <w:t>- дат</w:t>
            </w:r>
            <w:r w:rsidR="00C808F9" w:rsidRPr="00EC581A">
              <w:rPr>
                <w:sz w:val="20"/>
                <w:szCs w:val="20"/>
              </w:rPr>
              <w:t>а</w:t>
            </w:r>
            <w:r w:rsidRPr="00EC581A">
              <w:rPr>
                <w:sz w:val="20"/>
                <w:szCs w:val="20"/>
              </w:rPr>
              <w:t xml:space="preserve"> проведения годового общего собрания акционеров</w:t>
            </w:r>
            <w:r w:rsidR="009E1525" w:rsidRPr="00EC581A">
              <w:rPr>
                <w:sz w:val="20"/>
                <w:szCs w:val="20"/>
              </w:rPr>
              <w:t xml:space="preserve"> (</w:t>
            </w:r>
            <w:r w:rsidR="009E1525" w:rsidRPr="00EC581A">
              <w:rPr>
                <w:rFonts w:eastAsia="Calibri"/>
                <w:sz w:val="20"/>
                <w:szCs w:val="20"/>
              </w:rPr>
              <w:t>дата окончания приема бюллетеней для голосования)</w:t>
            </w:r>
            <w:r w:rsidRPr="00EC581A">
              <w:rPr>
                <w:sz w:val="20"/>
                <w:szCs w:val="20"/>
              </w:rPr>
              <w:t xml:space="preserve"> – 2</w:t>
            </w:r>
            <w:r w:rsidR="002767B7">
              <w:rPr>
                <w:sz w:val="20"/>
                <w:szCs w:val="20"/>
              </w:rPr>
              <w:t>1</w:t>
            </w:r>
            <w:r w:rsidRPr="00EC581A">
              <w:rPr>
                <w:sz w:val="20"/>
                <w:szCs w:val="20"/>
              </w:rPr>
              <w:t xml:space="preserve"> ию</w:t>
            </w:r>
            <w:r w:rsidR="002767B7">
              <w:rPr>
                <w:sz w:val="20"/>
                <w:szCs w:val="20"/>
              </w:rPr>
              <w:t>ля</w:t>
            </w:r>
            <w:r w:rsidRPr="00EC581A">
              <w:rPr>
                <w:sz w:val="20"/>
                <w:szCs w:val="20"/>
              </w:rPr>
              <w:t xml:space="preserve"> 20</w:t>
            </w:r>
            <w:r w:rsidR="002767B7">
              <w:rPr>
                <w:sz w:val="20"/>
                <w:szCs w:val="20"/>
              </w:rPr>
              <w:t>20</w:t>
            </w:r>
            <w:r w:rsidRPr="00EC581A">
              <w:rPr>
                <w:sz w:val="20"/>
                <w:szCs w:val="20"/>
              </w:rPr>
              <w:t xml:space="preserve"> года;</w:t>
            </w:r>
          </w:p>
          <w:p w:rsidR="009E1525" w:rsidRPr="002767B7" w:rsidRDefault="009E1525" w:rsidP="009E1525">
            <w:pPr>
              <w:spacing w:after="60" w:line="220" w:lineRule="exact"/>
              <w:ind w:left="142" w:right="162" w:hanging="14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 xml:space="preserve">    - почтовый адрес, по которому должны направляться заполненные бюллетени: 410031 г. Саратов, ул. Радищева, 28, АО «</w:t>
            </w:r>
            <w:r w:rsidRPr="002767B7">
              <w:rPr>
                <w:rFonts w:eastAsia="Calibri"/>
                <w:sz w:val="20"/>
                <w:szCs w:val="20"/>
              </w:rPr>
              <w:t>Экономбанк».</w:t>
            </w:r>
          </w:p>
          <w:p w:rsidR="002767B7" w:rsidRPr="002767B7" w:rsidRDefault="002767B7" w:rsidP="009E1525">
            <w:pPr>
              <w:spacing w:after="60" w:line="220" w:lineRule="exact"/>
              <w:ind w:left="142" w:right="162" w:hanging="142"/>
              <w:jc w:val="both"/>
              <w:rPr>
                <w:rFonts w:eastAsia="Calibri"/>
                <w:sz w:val="20"/>
                <w:szCs w:val="20"/>
              </w:rPr>
            </w:pPr>
          </w:p>
          <w:p w:rsidR="00C808F9" w:rsidRPr="002767B7" w:rsidRDefault="00D20922" w:rsidP="002767B7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2767B7">
              <w:rPr>
                <w:b/>
                <w:bCs/>
                <w:sz w:val="20"/>
                <w:szCs w:val="20"/>
              </w:rPr>
              <w:t>2.4. время начала регистрации лиц, принимающих участие в общем собрании акционеров эмитента (в случае проведения общего собрания в форме собрания):</w:t>
            </w:r>
            <w:r w:rsidR="002767B7" w:rsidRPr="002767B7">
              <w:rPr>
                <w:b/>
                <w:bCs/>
                <w:sz w:val="20"/>
                <w:szCs w:val="20"/>
              </w:rPr>
              <w:t xml:space="preserve"> </w:t>
            </w:r>
            <w:r w:rsidR="00C808F9" w:rsidRPr="002767B7">
              <w:rPr>
                <w:sz w:val="20"/>
                <w:szCs w:val="20"/>
              </w:rPr>
              <w:t>- </w:t>
            </w:r>
            <w:r w:rsidR="009E1525" w:rsidRPr="002767B7">
              <w:rPr>
                <w:sz w:val="20"/>
                <w:szCs w:val="20"/>
              </w:rPr>
              <w:t>собрание проводится в форме заочного голосования</w:t>
            </w:r>
            <w:r w:rsidR="00C808F9" w:rsidRPr="002767B7">
              <w:rPr>
                <w:sz w:val="20"/>
                <w:szCs w:val="20"/>
              </w:rPr>
              <w:t>.</w:t>
            </w:r>
          </w:p>
          <w:p w:rsidR="002767B7" w:rsidRPr="002767B7" w:rsidRDefault="002767B7" w:rsidP="002767B7">
            <w:pPr>
              <w:autoSpaceDN w:val="0"/>
              <w:adjustRightInd w:val="0"/>
              <w:spacing w:before="200"/>
              <w:ind w:left="142" w:right="304"/>
              <w:jc w:val="both"/>
              <w:rPr>
                <w:sz w:val="20"/>
                <w:szCs w:val="20"/>
              </w:rPr>
            </w:pPr>
            <w:r w:rsidRPr="002767B7">
              <w:rPr>
                <w:b/>
                <w:sz w:val="20"/>
                <w:szCs w:val="20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Pr="002767B7">
              <w:rPr>
                <w:sz w:val="20"/>
                <w:szCs w:val="20"/>
              </w:rPr>
              <w:t>21 июля 2020 года</w:t>
            </w:r>
            <w:r>
              <w:rPr>
                <w:sz w:val="20"/>
                <w:szCs w:val="20"/>
              </w:rPr>
              <w:t>.</w:t>
            </w:r>
          </w:p>
          <w:p w:rsidR="002767B7" w:rsidRPr="00EC581A" w:rsidRDefault="002767B7" w:rsidP="002767B7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C808F9" w:rsidRPr="00EC581A" w:rsidRDefault="00D20922" w:rsidP="009E1525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6</w:t>
            </w:r>
            <w:r w:rsidRPr="00EC581A">
              <w:rPr>
                <w:b/>
                <w:bCs/>
                <w:sz w:val="20"/>
                <w:szCs w:val="20"/>
              </w:rPr>
              <w:t>. дата составления списка лиц, имеющих право на участие в общем собрании акционеров эмитента:</w:t>
            </w:r>
            <w:r w:rsidR="009E1525" w:rsidRPr="00EC581A">
              <w:rPr>
                <w:b/>
                <w:bCs/>
                <w:sz w:val="20"/>
                <w:szCs w:val="20"/>
              </w:rPr>
              <w:t xml:space="preserve"> </w:t>
            </w:r>
            <w:r w:rsidR="009E1525" w:rsidRPr="00EC581A">
              <w:rPr>
                <w:sz w:val="20"/>
                <w:szCs w:val="20"/>
              </w:rPr>
              <w:t>25</w:t>
            </w:r>
            <w:r w:rsidR="00C808F9" w:rsidRPr="00EC581A">
              <w:rPr>
                <w:sz w:val="20"/>
                <w:szCs w:val="20"/>
              </w:rPr>
              <w:t xml:space="preserve"> июня 20</w:t>
            </w:r>
            <w:r w:rsidR="009E1525" w:rsidRPr="00EC581A">
              <w:rPr>
                <w:sz w:val="20"/>
                <w:szCs w:val="20"/>
              </w:rPr>
              <w:t>20</w:t>
            </w:r>
            <w:r w:rsidR="00C808F9" w:rsidRPr="00EC581A">
              <w:rPr>
                <w:sz w:val="20"/>
                <w:szCs w:val="20"/>
              </w:rPr>
              <w:t xml:space="preserve"> года.</w:t>
            </w:r>
          </w:p>
          <w:p w:rsidR="009E1525" w:rsidRPr="00EC581A" w:rsidRDefault="009E1525" w:rsidP="009E1525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7</w:t>
            </w:r>
            <w:r w:rsidRPr="00EC581A">
              <w:rPr>
                <w:b/>
                <w:bCs/>
                <w:sz w:val="20"/>
                <w:szCs w:val="20"/>
              </w:rPr>
              <w:t>. повестка дня общего собрания акционеров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обстоятельствах:</w:t>
            </w:r>
          </w:p>
          <w:p w:rsidR="009E1525" w:rsidRPr="00EC581A" w:rsidRDefault="002F6849" w:rsidP="009E1525">
            <w:pPr>
              <w:spacing w:after="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sz w:val="20"/>
                <w:szCs w:val="20"/>
              </w:rPr>
              <w:t>1</w:t>
            </w:r>
            <w:r w:rsidR="009E1525" w:rsidRPr="00EC581A">
              <w:rPr>
                <w:rFonts w:eastAsia="Calibri"/>
                <w:sz w:val="20"/>
                <w:szCs w:val="20"/>
              </w:rPr>
              <w:t xml:space="preserve">. Утверждение годового отчета АО «Экономбанк» за 2019 год. </w:t>
            </w:r>
          </w:p>
          <w:p w:rsidR="009E1525" w:rsidRPr="00EC581A" w:rsidRDefault="009E1525" w:rsidP="009E1525">
            <w:pPr>
              <w:spacing w:after="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 xml:space="preserve">2. Утверждение годовой бухгалтерской (финансовой) отчетности АО «Экономбанк» за 2019 год. </w:t>
            </w:r>
          </w:p>
          <w:p w:rsidR="009E1525" w:rsidRPr="00EC581A" w:rsidRDefault="009E1525" w:rsidP="009E1525">
            <w:pPr>
              <w:spacing w:after="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3. О распределении прибыли (в том числе выплата (объявление) дивидендов) и убытков АО «Экономбанк» по результатам 2019 года.</w:t>
            </w:r>
          </w:p>
          <w:p w:rsidR="009E1525" w:rsidRPr="00EC581A" w:rsidRDefault="009E1525" w:rsidP="009E1525">
            <w:pPr>
              <w:spacing w:after="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 xml:space="preserve">4. Утверждение Устава АО «Экономбанк» в новой редакции.  </w:t>
            </w:r>
          </w:p>
          <w:p w:rsidR="009E1525" w:rsidRPr="00EC581A" w:rsidRDefault="009E1525" w:rsidP="009E1525">
            <w:pPr>
              <w:spacing w:after="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5. Утверждение аудиторской организации АО «Экономбанк».</w:t>
            </w:r>
          </w:p>
          <w:p w:rsidR="009E1525" w:rsidRPr="00EC581A" w:rsidRDefault="009E1525" w:rsidP="009E1525">
            <w:pPr>
              <w:spacing w:after="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6. Об определении количественного состава Совета директоров АО «Экономбанк».</w:t>
            </w:r>
          </w:p>
          <w:p w:rsidR="009E1525" w:rsidRPr="00EC581A" w:rsidRDefault="009E1525" w:rsidP="009E1525">
            <w:pPr>
              <w:spacing w:after="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7. Избрание членов Совета директоров АО «Экономбанк».</w:t>
            </w:r>
          </w:p>
          <w:p w:rsidR="009E1525" w:rsidRPr="00EC581A" w:rsidRDefault="009E1525" w:rsidP="009E1525">
            <w:pPr>
              <w:spacing w:after="1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 xml:space="preserve">8. Избрание членов Ревизионной комиссии АО «Экономбанк». </w:t>
            </w: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lastRenderedPageBreak/>
              <w:t>2.</w:t>
            </w:r>
            <w:r w:rsidR="002767B7">
              <w:rPr>
                <w:b/>
                <w:bCs/>
                <w:sz w:val="20"/>
                <w:szCs w:val="20"/>
              </w:rPr>
              <w:t>8</w:t>
            </w:r>
            <w:r w:rsidRPr="00EC581A">
              <w:rPr>
                <w:b/>
                <w:bCs/>
                <w:sz w:val="20"/>
                <w:szCs w:val="20"/>
              </w:rPr>
              <w:t>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ознакомиться:</w:t>
            </w:r>
          </w:p>
          <w:p w:rsidR="002F6849" w:rsidRPr="00EC581A" w:rsidRDefault="002F6849" w:rsidP="00166925">
            <w:pPr>
              <w:widowControl w:val="0"/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sz w:val="20"/>
                <w:szCs w:val="20"/>
              </w:rPr>
              <w:t xml:space="preserve">       Перечень информации (материалов), предоставляемой акционерам при подготовке к проведению годового общего собрания акционеров: 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3"/>
                <w:szCs w:val="23"/>
              </w:rPr>
              <w:t>1</w:t>
            </w:r>
            <w:r w:rsidRPr="00EC581A">
              <w:rPr>
                <w:rFonts w:eastAsia="Calibri"/>
                <w:sz w:val="20"/>
                <w:szCs w:val="20"/>
              </w:rPr>
              <w:t>) Годовой отчет АО «Экономбанк» за 2019 год.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2) Годовая бухгалтерская (финансовая) отчетность АО «Экономбанк» за 2019 год.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3) Заключение Ревизионной комиссии по результатам проверки годовой бухгалтерской (финансовой) отчетности, о достоверности данных, содержащихся в годовом отчете АО «Экономбанк».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4) Аудиторское заключение по результатам проверки годовой бухгалтерской (финансовой) отчетности АО «Экономбанк».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5) Рекомендации Совета директоров АО «Экономбанк» по распределению прибыли и убытков по результатам отчетного года, по размеру дивиденда по акциям и порядку его выплаты.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6) Сведения о кандидатах в Совет директоров АО «Экономбанк» (с информацией о наличии либо отсутствии письменного согласия выдвинутых кандидатов на избрание).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7) Сведения о кандидатах в Ревизионную комиссию АО «Экономбанк» (с информацией о наличии либо отсутствии письменного согласия выдвинутых кандидатов на избрание).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8) Сведения о предлагаемой аудиторской организации АО «Экономбанк».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9) Проект Устава АО «Экономбанк» в новой редакции.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>10) Проекты решений Годового общего собрания акционеров.</w:t>
            </w:r>
          </w:p>
          <w:p w:rsidR="00991358" w:rsidRPr="00EC581A" w:rsidRDefault="00771DEF" w:rsidP="00771DEF">
            <w:pPr>
              <w:spacing w:after="6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 xml:space="preserve">   </w:t>
            </w:r>
            <w:r w:rsidR="00991358" w:rsidRPr="00EC581A">
              <w:rPr>
                <w:rFonts w:eastAsia="Calibri"/>
                <w:sz w:val="20"/>
                <w:szCs w:val="20"/>
              </w:rPr>
              <w:t xml:space="preserve">С указанной информацией акционеры могут ознакомиться с 29 июня 2020 года на сайте Банка в информационно-телекоммуникационной сети «Интернет» - </w:t>
            </w:r>
            <w:hyperlink r:id="rId8" w:history="1">
              <w:r w:rsidR="00991358" w:rsidRPr="00EC581A">
                <w:rPr>
                  <w:rFonts w:eastAsia="Calibri"/>
                  <w:sz w:val="20"/>
                  <w:szCs w:val="20"/>
                  <w:u w:val="single"/>
                </w:rPr>
                <w:t>www.econombank.ru</w:t>
              </w:r>
            </w:hyperlink>
            <w:r w:rsidR="00991358" w:rsidRPr="00EC581A">
              <w:rPr>
                <w:rFonts w:eastAsia="Calibri"/>
                <w:sz w:val="20"/>
                <w:szCs w:val="20"/>
              </w:rPr>
              <w:t xml:space="preserve">, а также в офисе АО «Экономбанк» расположенных по адресу: г.Саратов, </w:t>
            </w:r>
            <w:proofErr w:type="spellStart"/>
            <w:r w:rsidR="00991358" w:rsidRPr="00EC581A">
              <w:rPr>
                <w:rFonts w:eastAsia="Calibri"/>
                <w:sz w:val="20"/>
                <w:szCs w:val="20"/>
              </w:rPr>
              <w:t>ул.Радищева</w:t>
            </w:r>
            <w:proofErr w:type="spellEnd"/>
            <w:r w:rsidR="00991358" w:rsidRPr="00EC581A">
              <w:rPr>
                <w:rFonts w:eastAsia="Calibri"/>
                <w:sz w:val="20"/>
                <w:szCs w:val="20"/>
              </w:rPr>
              <w:t>, 28, комната 602.</w:t>
            </w:r>
          </w:p>
          <w:p w:rsidR="00E10B5F" w:rsidRDefault="00E10B5F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9</w:t>
            </w:r>
            <w:r w:rsidRPr="00EC581A">
              <w:rPr>
                <w:b/>
                <w:bCs/>
                <w:sz w:val="20"/>
                <w:szCs w:val="20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2F6849" w:rsidRPr="00EC581A" w:rsidRDefault="002F6849" w:rsidP="00771DEF">
            <w:pPr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sz w:val="20"/>
                <w:szCs w:val="20"/>
              </w:rPr>
              <w:t>- Акции обыкновенные именные бездокументарные, государственный регистрационный номер и дата регистрации: 10201319В, 05.05.2016 г., 10.06.2016 г.</w:t>
            </w:r>
          </w:p>
          <w:p w:rsidR="00D20922" w:rsidRPr="00EC581A" w:rsidRDefault="00CD6236" w:rsidP="00771DEF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sz w:val="20"/>
                <w:szCs w:val="20"/>
              </w:rPr>
              <w:t xml:space="preserve">  </w:t>
            </w:r>
            <w:r w:rsidR="002F6849" w:rsidRPr="00EC581A">
              <w:rPr>
                <w:sz w:val="20"/>
                <w:szCs w:val="20"/>
              </w:rPr>
              <w:t xml:space="preserve"> -</w:t>
            </w:r>
            <w:r w:rsidR="00771DEF" w:rsidRPr="00EC581A">
              <w:rPr>
                <w:sz w:val="20"/>
                <w:szCs w:val="20"/>
              </w:rPr>
              <w:t xml:space="preserve"> </w:t>
            </w:r>
            <w:r w:rsidR="002F6849" w:rsidRPr="00EC581A">
              <w:rPr>
                <w:sz w:val="20"/>
                <w:szCs w:val="20"/>
              </w:rPr>
              <w:t>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  <w:p w:rsidR="002F6849" w:rsidRPr="00EC581A" w:rsidRDefault="002F6849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771DEF" w:rsidRPr="00EC581A" w:rsidRDefault="00D20922" w:rsidP="00991358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10</w:t>
            </w:r>
            <w:r w:rsidRPr="00EC581A">
              <w:rPr>
                <w:b/>
                <w:bCs/>
                <w:sz w:val="20"/>
                <w:szCs w:val="20"/>
              </w:rPr>
              <w:t>. указание на лицо или орган эмитента, принявшее (принявший) решение о созыве общего собрания акционеров</w:t>
            </w:r>
            <w:r w:rsidR="00C808F9" w:rsidRPr="00EC581A">
              <w:rPr>
                <w:b/>
                <w:bCs/>
                <w:sz w:val="20"/>
                <w:szCs w:val="20"/>
              </w:rPr>
              <w:t xml:space="preserve"> </w:t>
            </w:r>
            <w:r w:rsidRPr="00EC581A">
              <w:rPr>
                <w:b/>
                <w:bCs/>
                <w:sz w:val="20"/>
                <w:szCs w:val="20"/>
              </w:rPr>
              <w:t>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  <w:r w:rsidR="002F6849" w:rsidRPr="00EC581A">
              <w:rPr>
                <w:b/>
                <w:bCs/>
                <w:sz w:val="20"/>
                <w:szCs w:val="20"/>
              </w:rPr>
              <w:t xml:space="preserve"> </w:t>
            </w:r>
          </w:p>
          <w:p w:rsidR="00EC179F" w:rsidRPr="00EC581A" w:rsidRDefault="00771DEF" w:rsidP="00AF08FB">
            <w:pPr>
              <w:autoSpaceDN w:val="0"/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 xml:space="preserve">     </w:t>
            </w:r>
            <w:r w:rsidR="002F6849" w:rsidRPr="00EC581A">
              <w:rPr>
                <w:bCs/>
                <w:sz w:val="20"/>
                <w:szCs w:val="20"/>
              </w:rPr>
              <w:t xml:space="preserve">Решение о созыве Годового общего собрания акционеров АО «Экономбанк» принято Советом директоров </w:t>
            </w:r>
            <w:r w:rsidRPr="00EC581A">
              <w:rPr>
                <w:bCs/>
                <w:sz w:val="20"/>
                <w:szCs w:val="20"/>
              </w:rPr>
              <w:t>АО «Экономбанк»</w:t>
            </w:r>
            <w:r w:rsidR="002F6849" w:rsidRPr="00EC581A">
              <w:rPr>
                <w:bCs/>
                <w:sz w:val="20"/>
                <w:szCs w:val="20"/>
              </w:rPr>
              <w:t xml:space="preserve"> </w:t>
            </w:r>
            <w:r w:rsidR="00991358" w:rsidRPr="00EC581A">
              <w:rPr>
                <w:bCs/>
                <w:sz w:val="20"/>
                <w:szCs w:val="20"/>
              </w:rPr>
              <w:t>10.</w:t>
            </w:r>
            <w:r w:rsidR="002F6849" w:rsidRPr="00EC581A">
              <w:rPr>
                <w:bCs/>
                <w:sz w:val="20"/>
                <w:szCs w:val="20"/>
              </w:rPr>
              <w:t>0</w:t>
            </w:r>
            <w:r w:rsidR="00991358" w:rsidRPr="00EC581A">
              <w:rPr>
                <w:bCs/>
                <w:sz w:val="20"/>
                <w:szCs w:val="20"/>
              </w:rPr>
              <w:t>6</w:t>
            </w:r>
            <w:r w:rsidR="002F6849" w:rsidRPr="00EC581A">
              <w:rPr>
                <w:bCs/>
                <w:sz w:val="20"/>
                <w:szCs w:val="20"/>
              </w:rPr>
              <w:t>.20</w:t>
            </w:r>
            <w:r w:rsidR="00991358" w:rsidRPr="00EC581A">
              <w:rPr>
                <w:bCs/>
                <w:sz w:val="20"/>
                <w:szCs w:val="20"/>
              </w:rPr>
              <w:t>20</w:t>
            </w:r>
            <w:r w:rsidR="002F6849" w:rsidRPr="00EC581A">
              <w:rPr>
                <w:bCs/>
                <w:sz w:val="20"/>
                <w:szCs w:val="20"/>
              </w:rPr>
              <w:t xml:space="preserve"> года, протокол № 1</w:t>
            </w:r>
            <w:r w:rsidR="00AF08FB">
              <w:rPr>
                <w:bCs/>
                <w:sz w:val="20"/>
                <w:szCs w:val="20"/>
              </w:rPr>
              <w:t>2</w:t>
            </w:r>
            <w:bookmarkStart w:id="2" w:name="_GoBack"/>
            <w:bookmarkEnd w:id="2"/>
          </w:p>
        </w:tc>
      </w:tr>
    </w:tbl>
    <w:p w:rsidR="00832B86" w:rsidRPr="00EC581A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EC581A" w:rsidRPr="00EC581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 Подпись</w:t>
            </w:r>
          </w:p>
        </w:tc>
      </w:tr>
      <w:tr w:rsidR="00EC581A" w:rsidRPr="00EC581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BA0516" w:rsidP="00991358">
            <w:pPr>
              <w:ind w:left="57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 </w:t>
            </w:r>
            <w:r w:rsidR="00F11568" w:rsidRPr="00EC581A">
              <w:rPr>
                <w:sz w:val="22"/>
                <w:szCs w:val="22"/>
              </w:rPr>
              <w:t>3.1</w:t>
            </w:r>
            <w:r w:rsidR="00F11568" w:rsidRPr="00EC581A">
              <w:rPr>
                <w:b/>
                <w:sz w:val="22"/>
                <w:szCs w:val="22"/>
              </w:rPr>
              <w:t xml:space="preserve">. </w:t>
            </w:r>
            <w:r w:rsidR="00991358" w:rsidRPr="00EC581A">
              <w:rPr>
                <w:b/>
                <w:sz w:val="22"/>
                <w:szCs w:val="22"/>
              </w:rPr>
              <w:t xml:space="preserve">Временно исполняющий обязанности </w:t>
            </w:r>
            <w:r w:rsidR="00F11568" w:rsidRPr="00EC581A">
              <w:rPr>
                <w:b/>
                <w:sz w:val="22"/>
                <w:szCs w:val="22"/>
              </w:rPr>
              <w:t>Председател</w:t>
            </w:r>
            <w:r w:rsidR="00991358" w:rsidRPr="00EC581A">
              <w:rPr>
                <w:b/>
                <w:sz w:val="22"/>
                <w:szCs w:val="22"/>
              </w:rPr>
              <w:t>я</w:t>
            </w:r>
            <w:r w:rsidR="00F11568" w:rsidRPr="00EC581A">
              <w:rPr>
                <w:b/>
                <w:sz w:val="22"/>
                <w:szCs w:val="22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EC581A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EC581A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И. О. Фамилия</w:t>
            </w:r>
          </w:p>
        </w:tc>
      </w:tr>
      <w:tr w:rsidR="00EC581A" w:rsidRPr="00EC581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EC581A" w:rsidRDefault="00991358" w:rsidP="00991358">
            <w:pPr>
              <w:jc w:val="center"/>
              <w:rPr>
                <w:sz w:val="22"/>
                <w:szCs w:val="22"/>
              </w:rPr>
            </w:pPr>
            <w:proofErr w:type="spellStart"/>
            <w:r w:rsidRPr="00EC581A">
              <w:rPr>
                <w:b/>
                <w:sz w:val="22"/>
                <w:szCs w:val="22"/>
              </w:rPr>
              <w:t>Е.Н.Алмакаева</w:t>
            </w:r>
            <w:proofErr w:type="spellEnd"/>
          </w:p>
        </w:tc>
      </w:tr>
      <w:tr w:rsidR="00EC581A" w:rsidRPr="00EC581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581A" w:rsidRPr="00EC581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  </w:t>
            </w:r>
            <w:r w:rsidR="00F11568" w:rsidRPr="00EC581A">
              <w:rPr>
                <w:sz w:val="22"/>
                <w:szCs w:val="22"/>
              </w:rPr>
              <w:t>3.2. Дата</w:t>
            </w:r>
            <w:r w:rsidR="00F11568" w:rsidRPr="00EC581A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C581A" w:rsidRDefault="00991358" w:rsidP="00991358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C581A" w:rsidRDefault="00991358" w:rsidP="00991358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июня</w:t>
            </w:r>
            <w:r w:rsidR="00F11568" w:rsidRPr="00EC581A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EC581A" w:rsidRDefault="00F11568" w:rsidP="00991358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20</w:t>
            </w:r>
            <w:r w:rsidR="00991358" w:rsidRPr="00EC581A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C581A" w:rsidRDefault="00F11568">
            <w:pPr>
              <w:rPr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EC581A" w:rsidRPr="00EC581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CD6236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CD62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D2" w:rsidRDefault="00D248D2">
      <w:r>
        <w:separator/>
      </w:r>
    </w:p>
  </w:endnote>
  <w:endnote w:type="continuationSeparator" w:id="0">
    <w:p w:rsidR="00D248D2" w:rsidRDefault="00D2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D2" w:rsidRDefault="00D248D2">
      <w:r>
        <w:separator/>
      </w:r>
    </w:p>
  </w:footnote>
  <w:footnote w:type="continuationSeparator" w:id="0">
    <w:p w:rsidR="00D248D2" w:rsidRDefault="00D2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358BE"/>
    <w:rsid w:val="001441E2"/>
    <w:rsid w:val="00166925"/>
    <w:rsid w:val="00247C3C"/>
    <w:rsid w:val="002615B8"/>
    <w:rsid w:val="002767B7"/>
    <w:rsid w:val="002847A2"/>
    <w:rsid w:val="002A73B9"/>
    <w:rsid w:val="002D7BA1"/>
    <w:rsid w:val="002F6849"/>
    <w:rsid w:val="003A2BDA"/>
    <w:rsid w:val="004256B1"/>
    <w:rsid w:val="0047213E"/>
    <w:rsid w:val="00475DA5"/>
    <w:rsid w:val="00527047"/>
    <w:rsid w:val="005E3A1F"/>
    <w:rsid w:val="00637F43"/>
    <w:rsid w:val="006641C2"/>
    <w:rsid w:val="00690196"/>
    <w:rsid w:val="006925AD"/>
    <w:rsid w:val="00706E27"/>
    <w:rsid w:val="00716261"/>
    <w:rsid w:val="00771DEF"/>
    <w:rsid w:val="007A30CF"/>
    <w:rsid w:val="007B3716"/>
    <w:rsid w:val="007C2B76"/>
    <w:rsid w:val="007F72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46CEA"/>
    <w:rsid w:val="00991358"/>
    <w:rsid w:val="009B4D71"/>
    <w:rsid w:val="009B65A0"/>
    <w:rsid w:val="009D60C6"/>
    <w:rsid w:val="009E1525"/>
    <w:rsid w:val="009E566A"/>
    <w:rsid w:val="00A26A2B"/>
    <w:rsid w:val="00A3181F"/>
    <w:rsid w:val="00A31B99"/>
    <w:rsid w:val="00A65CD1"/>
    <w:rsid w:val="00A87CE7"/>
    <w:rsid w:val="00AC23F2"/>
    <w:rsid w:val="00AE5249"/>
    <w:rsid w:val="00AF08FB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71BE8"/>
    <w:rsid w:val="00C808F9"/>
    <w:rsid w:val="00C90FE0"/>
    <w:rsid w:val="00CB66F6"/>
    <w:rsid w:val="00CD6236"/>
    <w:rsid w:val="00D20922"/>
    <w:rsid w:val="00D248D2"/>
    <w:rsid w:val="00D4691D"/>
    <w:rsid w:val="00D86053"/>
    <w:rsid w:val="00DA7E37"/>
    <w:rsid w:val="00DC28F8"/>
    <w:rsid w:val="00E10B5F"/>
    <w:rsid w:val="00E77394"/>
    <w:rsid w:val="00E93626"/>
    <w:rsid w:val="00EC179F"/>
    <w:rsid w:val="00EC581A"/>
    <w:rsid w:val="00EE161B"/>
    <w:rsid w:val="00EF1E20"/>
    <w:rsid w:val="00EF34BD"/>
    <w:rsid w:val="00F00FC4"/>
    <w:rsid w:val="00F0700B"/>
    <w:rsid w:val="00F11568"/>
    <w:rsid w:val="00F21403"/>
    <w:rsid w:val="00F339DF"/>
    <w:rsid w:val="00F36D54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rsid w:val="0047213E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72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bank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6145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2019-04-04T05:47:00Z</cp:lastPrinted>
  <dcterms:created xsi:type="dcterms:W3CDTF">2020-06-09T06:22:00Z</dcterms:created>
  <dcterms:modified xsi:type="dcterms:W3CDTF">2020-06-10T09:44:00Z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